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6716"/>
        <w:gridCol w:w="1790"/>
        <w:gridCol w:w="1559"/>
      </w:tblGrid>
      <w:tr w:rsidR="0005282C" w:rsidTr="00B71DFF">
        <w:tc>
          <w:tcPr>
            <w:tcW w:w="10065" w:type="dxa"/>
            <w:gridSpan w:val="3"/>
          </w:tcPr>
          <w:p w:rsidR="0005282C" w:rsidRPr="0005282C" w:rsidRDefault="00B71DFF" w:rsidP="00B71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Ακαθάριστες α</w:t>
            </w:r>
            <w:r w:rsidR="0005282C" w:rsidRPr="0005282C">
              <w:rPr>
                <w:b/>
                <w:sz w:val="28"/>
                <w:szCs w:val="28"/>
              </w:rPr>
              <w:t>μοιβές Στελεχών εκπαίδευσης</w:t>
            </w:r>
          </w:p>
        </w:tc>
      </w:tr>
      <w:tr w:rsidR="0005282C" w:rsidTr="00B71DFF">
        <w:tc>
          <w:tcPr>
            <w:tcW w:w="6716" w:type="dxa"/>
            <w:vAlign w:val="center"/>
          </w:tcPr>
          <w:p w:rsidR="0005282C" w:rsidRPr="00D3060D" w:rsidRDefault="00B71DFF" w:rsidP="0005282C">
            <w:pPr>
              <w:jc w:val="center"/>
              <w:rPr>
                <w:b/>
                <w:sz w:val="24"/>
                <w:szCs w:val="24"/>
              </w:rPr>
            </w:pPr>
            <w:r w:rsidRPr="00D3060D">
              <w:rPr>
                <w:b/>
                <w:sz w:val="24"/>
                <w:szCs w:val="24"/>
              </w:rPr>
              <w:t>Στελέχη</w:t>
            </w:r>
          </w:p>
        </w:tc>
        <w:tc>
          <w:tcPr>
            <w:tcW w:w="1790" w:type="dxa"/>
            <w:vAlign w:val="center"/>
          </w:tcPr>
          <w:p w:rsidR="00B71DFF" w:rsidRPr="00D3060D" w:rsidRDefault="0005282C" w:rsidP="0005282C">
            <w:pPr>
              <w:jc w:val="center"/>
              <w:rPr>
                <w:b/>
                <w:sz w:val="24"/>
                <w:szCs w:val="24"/>
              </w:rPr>
            </w:pPr>
            <w:r w:rsidRPr="00D3060D">
              <w:rPr>
                <w:b/>
                <w:sz w:val="24"/>
                <w:szCs w:val="24"/>
              </w:rPr>
              <w:t xml:space="preserve">Έως 31/12/2023 </w:t>
            </w:r>
          </w:p>
          <w:p w:rsidR="0005282C" w:rsidRPr="00D3060D" w:rsidRDefault="0005282C" w:rsidP="000528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60D">
              <w:rPr>
                <w:b/>
                <w:sz w:val="24"/>
                <w:szCs w:val="24"/>
              </w:rPr>
              <w:t>(</w:t>
            </w:r>
            <w:r w:rsidRPr="00D3060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060D">
              <w:rPr>
                <w:rFonts w:cstheme="minorHAnsi"/>
                <w:b/>
                <w:sz w:val="24"/>
                <w:szCs w:val="24"/>
                <w:lang w:val="en-US"/>
              </w:rPr>
              <w:t xml:space="preserve">€ </w:t>
            </w:r>
            <w:r w:rsidRPr="00D3060D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B71DFF" w:rsidRPr="00D3060D" w:rsidRDefault="0005282C" w:rsidP="0005282C">
            <w:pPr>
              <w:jc w:val="center"/>
              <w:rPr>
                <w:b/>
                <w:sz w:val="24"/>
                <w:szCs w:val="24"/>
              </w:rPr>
            </w:pPr>
            <w:r w:rsidRPr="00D3060D">
              <w:rPr>
                <w:b/>
                <w:sz w:val="24"/>
                <w:szCs w:val="24"/>
              </w:rPr>
              <w:t xml:space="preserve">Από </w:t>
            </w:r>
            <w:r w:rsidRPr="00D3060D">
              <w:rPr>
                <w:b/>
                <w:sz w:val="24"/>
                <w:szCs w:val="24"/>
                <w:lang w:val="en-US"/>
              </w:rPr>
              <w:t xml:space="preserve">1/1/2024 </w:t>
            </w:r>
          </w:p>
          <w:p w:rsidR="0005282C" w:rsidRPr="00D3060D" w:rsidRDefault="0005282C" w:rsidP="000528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60D">
              <w:rPr>
                <w:b/>
                <w:sz w:val="24"/>
                <w:szCs w:val="24"/>
                <w:lang w:val="en-US"/>
              </w:rPr>
              <w:t xml:space="preserve">( </w:t>
            </w:r>
            <w:r w:rsidRPr="00D3060D">
              <w:rPr>
                <w:rFonts w:cstheme="minorHAnsi"/>
                <w:b/>
                <w:sz w:val="24"/>
                <w:szCs w:val="24"/>
                <w:lang w:val="en-US"/>
              </w:rPr>
              <w:t xml:space="preserve">€ </w:t>
            </w:r>
            <w:r w:rsidRPr="00D3060D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0E4E5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Περιφερειακοί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900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1170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Περιφερειακοί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Επόπτες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Ποιότητας</w:t>
            </w:r>
            <w:proofErr w:type="spellEnd"/>
            <w:r w:rsidRPr="00D3060D">
              <w:rPr>
                <w:sz w:val="24"/>
                <w:szCs w:val="24"/>
              </w:rPr>
              <w:t xml:space="preserve"> της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3D2AC9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780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Πρωτοβάθμιας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Δευτεροβάθμιας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550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715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Επόπτες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Ποιότητας</w:t>
            </w:r>
            <w:proofErr w:type="spellEnd"/>
            <w:r w:rsidRPr="00D3060D">
              <w:rPr>
                <w:sz w:val="24"/>
                <w:szCs w:val="24"/>
              </w:rPr>
              <w:t xml:space="preserve"> της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650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Σύμβουλοι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455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Προϊστάμενοι</w:t>
            </w:r>
            <w:proofErr w:type="spellEnd"/>
            <w:r w:rsidRPr="00D3060D">
              <w:rPr>
                <w:sz w:val="24"/>
                <w:szCs w:val="24"/>
              </w:rPr>
              <w:t xml:space="preserve"> των </w:t>
            </w:r>
            <w:proofErr w:type="spellStart"/>
            <w:r w:rsidRPr="00D3060D">
              <w:rPr>
                <w:sz w:val="24"/>
                <w:szCs w:val="24"/>
              </w:rPr>
              <w:t>Κέντρων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Διεπιστημονικής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Αξιολόγησης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Συμβουλευτικής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Υποστήριξης</w:t>
            </w:r>
            <w:proofErr w:type="spellEnd"/>
            <w:r w:rsidRPr="00D3060D">
              <w:rPr>
                <w:sz w:val="24"/>
                <w:szCs w:val="24"/>
              </w:rPr>
              <w:t xml:space="preserve"> (ΚΕ.Δ.Α.Σ.Υ.) και </w:t>
            </w:r>
            <w:proofErr w:type="spellStart"/>
            <w:r w:rsidRPr="00D3060D">
              <w:rPr>
                <w:sz w:val="24"/>
                <w:szCs w:val="24"/>
              </w:rPr>
              <w:t>Προϊστάμενος</w:t>
            </w:r>
            <w:proofErr w:type="spellEnd"/>
            <w:r w:rsidRPr="00D3060D">
              <w:rPr>
                <w:sz w:val="24"/>
                <w:szCs w:val="24"/>
              </w:rPr>
              <w:t xml:space="preserve"> του </w:t>
            </w:r>
            <w:proofErr w:type="spellStart"/>
            <w:r w:rsidRPr="00D3060D">
              <w:rPr>
                <w:sz w:val="24"/>
                <w:szCs w:val="24"/>
              </w:rPr>
              <w:t>Γραφείου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Μειονοτικής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της </w:t>
            </w:r>
            <w:proofErr w:type="spellStart"/>
            <w:r w:rsidRPr="00D3060D">
              <w:rPr>
                <w:sz w:val="24"/>
                <w:szCs w:val="24"/>
              </w:rPr>
              <w:t>Περιφερειακής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Διεύθυνσης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Ανατολικής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Μακεδονίας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Θράκης</w:t>
            </w:r>
            <w:proofErr w:type="spellEnd"/>
            <w:r w:rsidRPr="00D3060D">
              <w:rPr>
                <w:sz w:val="24"/>
                <w:szCs w:val="24"/>
              </w:rPr>
              <w:t>,</w:t>
            </w:r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455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Γενικών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Λυκείων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Επαγγελματικών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Λυκείων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Ειδικών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Λυκείων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Ενιαίων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Ειδικών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Γυμνασίων</w:t>
            </w:r>
            <w:proofErr w:type="spellEnd"/>
            <w:r w:rsidRPr="00D3060D">
              <w:rPr>
                <w:sz w:val="24"/>
                <w:szCs w:val="24"/>
              </w:rPr>
              <w:t xml:space="preserve"> - </w:t>
            </w:r>
            <w:proofErr w:type="spellStart"/>
            <w:r w:rsidRPr="00D3060D">
              <w:rPr>
                <w:sz w:val="24"/>
                <w:szCs w:val="24"/>
              </w:rPr>
              <w:t>Λυκείων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Εργαστηρίων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Ειδικής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Μουσικών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Γυμνασίων</w:t>
            </w:r>
            <w:proofErr w:type="spellEnd"/>
            <w:r w:rsidRPr="00D3060D">
              <w:rPr>
                <w:sz w:val="24"/>
                <w:szCs w:val="24"/>
              </w:rPr>
              <w:t xml:space="preserve"> με </w:t>
            </w:r>
            <w:proofErr w:type="spellStart"/>
            <w:r w:rsidRPr="00D3060D">
              <w:rPr>
                <w:sz w:val="24"/>
                <w:szCs w:val="24"/>
              </w:rPr>
              <w:t>λυκειακές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τάξεις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Καλλιτεχνικών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Γυμνασίων</w:t>
            </w:r>
            <w:proofErr w:type="spellEnd"/>
            <w:r w:rsidRPr="00D3060D">
              <w:rPr>
                <w:sz w:val="24"/>
                <w:szCs w:val="24"/>
              </w:rPr>
              <w:t xml:space="preserve"> με </w:t>
            </w:r>
            <w:proofErr w:type="spellStart"/>
            <w:r w:rsidRPr="00D3060D">
              <w:rPr>
                <w:sz w:val="24"/>
                <w:szCs w:val="24"/>
              </w:rPr>
              <w:t>λυκειακές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τάξεις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δημόσιων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Ινστιτούτων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Κατάρτισης</w:t>
            </w:r>
            <w:proofErr w:type="spellEnd"/>
            <w:r w:rsidRPr="00D3060D">
              <w:rPr>
                <w:sz w:val="24"/>
                <w:szCs w:val="24"/>
              </w:rPr>
              <w:t xml:space="preserve"> (Ι.Ε.Κ.), </w:t>
            </w:r>
            <w:proofErr w:type="spellStart"/>
            <w:r w:rsidRPr="00D3060D">
              <w:rPr>
                <w:sz w:val="24"/>
                <w:szCs w:val="24"/>
              </w:rPr>
              <w:t>καθώς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εκπαιδευτικών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μονάδων</w:t>
            </w:r>
            <w:proofErr w:type="spellEnd"/>
            <w:r w:rsidRPr="00D3060D">
              <w:rPr>
                <w:sz w:val="24"/>
                <w:szCs w:val="24"/>
              </w:rPr>
              <w:t xml:space="preserve"> στα </w:t>
            </w:r>
            <w:proofErr w:type="spellStart"/>
            <w:r w:rsidRPr="00D3060D">
              <w:rPr>
                <w:sz w:val="24"/>
                <w:szCs w:val="24"/>
              </w:rPr>
              <w:t>Καταστήματα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Κράτησης</w:t>
            </w:r>
            <w:proofErr w:type="spellEnd"/>
            <w:r w:rsidRPr="00D3060D">
              <w:rPr>
                <w:sz w:val="24"/>
                <w:szCs w:val="24"/>
              </w:rPr>
              <w:t xml:space="preserve"> και στο </w:t>
            </w:r>
            <w:proofErr w:type="spellStart"/>
            <w:r w:rsidRPr="00D3060D">
              <w:rPr>
                <w:sz w:val="24"/>
                <w:szCs w:val="24"/>
              </w:rPr>
              <w:t>Ίδρυμα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Αγωγής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Αρρένων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Βόλου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429</w:t>
            </w:r>
          </w:p>
        </w:tc>
      </w:tr>
      <w:tr w:rsidR="0005282C" w:rsidTr="00B71DFF">
        <w:tc>
          <w:tcPr>
            <w:tcW w:w="6716" w:type="dxa"/>
          </w:tcPr>
          <w:p w:rsidR="0005282C" w:rsidRPr="00D3060D" w:rsidRDefault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Εφόσον</w:t>
            </w:r>
            <w:proofErr w:type="spellEnd"/>
            <w:r w:rsidRPr="00D3060D">
              <w:rPr>
                <w:sz w:val="24"/>
                <w:szCs w:val="24"/>
              </w:rPr>
              <w:t xml:space="preserve"> τα </w:t>
            </w:r>
            <w:proofErr w:type="spellStart"/>
            <w:r w:rsidRPr="00D3060D">
              <w:rPr>
                <w:sz w:val="24"/>
                <w:szCs w:val="24"/>
              </w:rPr>
              <w:t>Γενικά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Επαγγελματικά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Λύκεια</w:t>
            </w:r>
            <w:proofErr w:type="spellEnd"/>
            <w:r w:rsidRPr="00D3060D">
              <w:rPr>
                <w:sz w:val="24"/>
                <w:szCs w:val="24"/>
              </w:rPr>
              <w:t xml:space="preserve"> και τα </w:t>
            </w:r>
            <w:proofErr w:type="spellStart"/>
            <w:r w:rsidRPr="00D3060D">
              <w:rPr>
                <w:sz w:val="24"/>
                <w:szCs w:val="24"/>
              </w:rPr>
              <w:t>Μουσικά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Καλλιτεχνικά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Γυμνάσια</w:t>
            </w:r>
            <w:proofErr w:type="spellEnd"/>
            <w:r w:rsidRPr="00D3060D">
              <w:rPr>
                <w:sz w:val="24"/>
                <w:szCs w:val="24"/>
              </w:rPr>
              <w:t xml:space="preserve"> με </w:t>
            </w:r>
            <w:proofErr w:type="spellStart"/>
            <w:r w:rsidRPr="00D3060D">
              <w:rPr>
                <w:sz w:val="24"/>
                <w:szCs w:val="24"/>
              </w:rPr>
              <w:t>λυκειακές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τάξεις</w:t>
            </w:r>
            <w:proofErr w:type="spellEnd"/>
            <w:r w:rsidRPr="00D3060D">
              <w:rPr>
                <w:sz w:val="24"/>
                <w:szCs w:val="24"/>
              </w:rPr>
              <w:t xml:space="preserve"> και τα </w:t>
            </w:r>
            <w:proofErr w:type="spellStart"/>
            <w:r w:rsidRPr="00D3060D">
              <w:rPr>
                <w:sz w:val="24"/>
                <w:szCs w:val="24"/>
              </w:rPr>
              <w:t>δημόσια</w:t>
            </w:r>
            <w:proofErr w:type="spellEnd"/>
            <w:r w:rsidRPr="00D3060D">
              <w:rPr>
                <w:sz w:val="24"/>
                <w:szCs w:val="24"/>
              </w:rPr>
              <w:t xml:space="preserve"> Ι.Ε.Κ. </w:t>
            </w:r>
            <w:proofErr w:type="spellStart"/>
            <w:r w:rsidRPr="00D3060D">
              <w:rPr>
                <w:sz w:val="24"/>
                <w:szCs w:val="24"/>
              </w:rPr>
              <w:t>διαθέτουν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εκατόν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είκοσι</w:t>
            </w:r>
            <w:proofErr w:type="spellEnd"/>
            <w:r w:rsidRPr="00D3060D">
              <w:rPr>
                <w:sz w:val="24"/>
                <w:szCs w:val="24"/>
              </w:rPr>
              <w:t xml:space="preserve"> (120) </w:t>
            </w:r>
            <w:proofErr w:type="spellStart"/>
            <w:r w:rsidRPr="00D3060D">
              <w:rPr>
                <w:sz w:val="24"/>
                <w:szCs w:val="24"/>
              </w:rPr>
              <w:t>τουλάχιστον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μαθητές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ή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καταρτιζόμενους</w:t>
            </w:r>
            <w:proofErr w:type="spellEnd"/>
            <w:r w:rsidRPr="00D3060D">
              <w:rPr>
                <w:sz w:val="24"/>
                <w:szCs w:val="24"/>
              </w:rPr>
              <w:t xml:space="preserve"> και οι </w:t>
            </w:r>
            <w:proofErr w:type="spellStart"/>
            <w:r w:rsidRPr="00D3060D">
              <w:rPr>
                <w:sz w:val="24"/>
                <w:szCs w:val="24"/>
              </w:rPr>
              <w:t>Σχολικές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Μονάδες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Ειδικής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Αγωγής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(Σ.Μ.Ε.Α.Ε.) </w:t>
            </w:r>
            <w:proofErr w:type="spellStart"/>
            <w:r w:rsidRPr="00D3060D">
              <w:rPr>
                <w:sz w:val="24"/>
                <w:szCs w:val="24"/>
              </w:rPr>
              <w:t>τριάντα</w:t>
            </w:r>
            <w:proofErr w:type="spellEnd"/>
            <w:r w:rsidRPr="00D3060D">
              <w:rPr>
                <w:sz w:val="24"/>
                <w:szCs w:val="24"/>
              </w:rPr>
              <w:t xml:space="preserve"> (30) </w:t>
            </w:r>
            <w:proofErr w:type="spellStart"/>
            <w:r w:rsidRPr="00D3060D">
              <w:rPr>
                <w:sz w:val="24"/>
                <w:szCs w:val="24"/>
              </w:rPr>
              <w:t>τουλάχιστον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μαθητές</w:t>
            </w:r>
            <w:proofErr w:type="spellEnd"/>
          </w:p>
        </w:tc>
        <w:tc>
          <w:tcPr>
            <w:tcW w:w="1790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center"/>
          </w:tcPr>
          <w:p w:rsidR="0005282C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500,5</w:t>
            </w:r>
          </w:p>
        </w:tc>
      </w:tr>
      <w:tr w:rsidR="003D2AC9" w:rsidTr="00B71DFF">
        <w:tc>
          <w:tcPr>
            <w:tcW w:w="6716" w:type="dxa"/>
          </w:tcPr>
          <w:p w:rsidR="003D2AC9" w:rsidRPr="00D3060D" w:rsidRDefault="003D2AC9" w:rsidP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Προϊστάμενοι</w:t>
            </w:r>
            <w:proofErr w:type="spellEnd"/>
            <w:r w:rsidRPr="00D3060D">
              <w:rPr>
                <w:sz w:val="24"/>
                <w:szCs w:val="24"/>
              </w:rPr>
              <w:t xml:space="preserve"> των </w:t>
            </w:r>
            <w:proofErr w:type="spellStart"/>
            <w:r w:rsidRPr="00D3060D">
              <w:rPr>
                <w:sz w:val="24"/>
                <w:szCs w:val="24"/>
              </w:rPr>
              <w:t>Τμημάτων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Εκπαιδευτικών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Θεμάτων</w:t>
            </w:r>
            <w:proofErr w:type="spellEnd"/>
            <w:r w:rsidRPr="00D3060D">
              <w:rPr>
                <w:sz w:val="24"/>
                <w:szCs w:val="24"/>
              </w:rPr>
              <w:t xml:space="preserve"> των </w:t>
            </w:r>
            <w:proofErr w:type="spellStart"/>
            <w:r w:rsidRPr="00D3060D">
              <w:rPr>
                <w:sz w:val="24"/>
                <w:szCs w:val="24"/>
              </w:rPr>
              <w:t>Διευθύνσεων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Πρωτοβάθμιας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Δευτεροβάθμιας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</w:t>
            </w:r>
            <w:r w:rsidRPr="00D3060D">
              <w:rPr>
                <w:rStyle w:val="a4"/>
                <w:sz w:val="24"/>
                <w:szCs w:val="24"/>
              </w:rPr>
              <w:t>ς</w:t>
            </w:r>
            <w:proofErr w:type="spellEnd"/>
          </w:p>
        </w:tc>
        <w:tc>
          <w:tcPr>
            <w:tcW w:w="1790" w:type="dxa"/>
            <w:vAlign w:val="center"/>
          </w:tcPr>
          <w:p w:rsidR="003D2AC9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3D2AC9" w:rsidRPr="00D3060D" w:rsidRDefault="003D2AC9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390</w:t>
            </w:r>
          </w:p>
        </w:tc>
      </w:tr>
      <w:tr w:rsidR="003D2AC9" w:rsidTr="00B71DFF">
        <w:tc>
          <w:tcPr>
            <w:tcW w:w="6716" w:type="dxa"/>
          </w:tcPr>
          <w:p w:rsidR="003D2AC9" w:rsidRPr="00D3060D" w:rsidRDefault="00B71DFF" w:rsidP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Γυμνασίων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Επαγγελματικών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Σχολών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Σχολείων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Δεύτερης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Ευκαιρίας</w:t>
            </w:r>
            <w:proofErr w:type="spellEnd"/>
            <w:r w:rsidRPr="00D3060D">
              <w:rPr>
                <w:sz w:val="24"/>
                <w:szCs w:val="24"/>
              </w:rPr>
              <w:t xml:space="preserve"> (Σ.Δ.Ε.), </w:t>
            </w:r>
            <w:proofErr w:type="spellStart"/>
            <w:r w:rsidRPr="00D3060D">
              <w:rPr>
                <w:sz w:val="24"/>
                <w:szCs w:val="24"/>
              </w:rPr>
              <w:t>Ειδικών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Γυμνασίων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τετραθέσιων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άνω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γενικών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ειδικών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δημοτικών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σχολείων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νηπιαγωγείων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Εργαστηριακών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Κέντρων</w:t>
            </w:r>
            <w:proofErr w:type="spellEnd"/>
            <w:r w:rsidRPr="00D3060D">
              <w:rPr>
                <w:sz w:val="24"/>
                <w:szCs w:val="24"/>
              </w:rPr>
              <w:t xml:space="preserve"> (Ε.Κ.), </w:t>
            </w:r>
            <w:proofErr w:type="spellStart"/>
            <w:r w:rsidRPr="00D3060D">
              <w:rPr>
                <w:sz w:val="24"/>
                <w:szCs w:val="24"/>
              </w:rPr>
              <w:t>καθώς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δημόσιων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Σχολών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Κατάρτισης</w:t>
            </w:r>
            <w:proofErr w:type="spellEnd"/>
            <w:r w:rsidRPr="00D3060D">
              <w:rPr>
                <w:sz w:val="24"/>
                <w:szCs w:val="24"/>
              </w:rPr>
              <w:t xml:space="preserve"> (Ε.Σ.Κ.) και </w:t>
            </w:r>
            <w:proofErr w:type="spellStart"/>
            <w:r w:rsidRPr="00D3060D">
              <w:rPr>
                <w:sz w:val="24"/>
                <w:szCs w:val="24"/>
              </w:rPr>
              <w:t>Σχολών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Κέντρων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Κατάρτισης</w:t>
            </w:r>
            <w:proofErr w:type="spellEnd"/>
            <w:r w:rsidRPr="00D3060D">
              <w:rPr>
                <w:sz w:val="24"/>
                <w:szCs w:val="24"/>
              </w:rPr>
              <w:t xml:space="preserve"> (Κ.Ε.Κ.) του Ο.Α.Ε.Δ.</w:t>
            </w:r>
          </w:p>
        </w:tc>
        <w:tc>
          <w:tcPr>
            <w:tcW w:w="1790" w:type="dxa"/>
            <w:vAlign w:val="center"/>
          </w:tcPr>
          <w:p w:rsidR="003D2AC9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275</w:t>
            </w:r>
          </w:p>
        </w:tc>
        <w:tc>
          <w:tcPr>
            <w:tcW w:w="1559" w:type="dxa"/>
            <w:vAlign w:val="center"/>
          </w:tcPr>
          <w:p w:rsidR="003D2AC9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357,5</w:t>
            </w:r>
          </w:p>
        </w:tc>
      </w:tr>
      <w:tr w:rsidR="00B71DFF" w:rsidTr="00B71DFF">
        <w:tc>
          <w:tcPr>
            <w:tcW w:w="6716" w:type="dxa"/>
          </w:tcPr>
          <w:p w:rsidR="00B71DFF" w:rsidRPr="00D3060D" w:rsidRDefault="00B71DFF" w:rsidP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Εφόσον</w:t>
            </w:r>
            <w:proofErr w:type="spellEnd"/>
            <w:r w:rsidRPr="00D3060D">
              <w:rPr>
                <w:sz w:val="24"/>
                <w:szCs w:val="24"/>
              </w:rPr>
              <w:t xml:space="preserve"> τα </w:t>
            </w:r>
            <w:proofErr w:type="spellStart"/>
            <w:r w:rsidRPr="00D3060D">
              <w:rPr>
                <w:sz w:val="24"/>
                <w:szCs w:val="24"/>
              </w:rPr>
              <w:t>σχολεία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γενικής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επαγγελματικής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και οι </w:t>
            </w:r>
            <w:proofErr w:type="spellStart"/>
            <w:r w:rsidRPr="00D3060D">
              <w:rPr>
                <w:sz w:val="24"/>
                <w:szCs w:val="24"/>
              </w:rPr>
              <w:t>λοιπές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δομές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επαγγελματικής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κατάρτισης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διαθέτουν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εκατόν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είκοσι</w:t>
            </w:r>
            <w:proofErr w:type="spellEnd"/>
            <w:r w:rsidRPr="00D3060D">
              <w:rPr>
                <w:sz w:val="24"/>
                <w:szCs w:val="24"/>
              </w:rPr>
              <w:t xml:space="preserve"> (120) </w:t>
            </w:r>
            <w:proofErr w:type="spellStart"/>
            <w:r w:rsidRPr="00D3060D">
              <w:rPr>
                <w:sz w:val="24"/>
                <w:szCs w:val="24"/>
              </w:rPr>
              <w:t>τουλάχιστον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μαθητές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εκπαιδευόμενους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ή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καταρτιζόμενους</w:t>
            </w:r>
            <w:proofErr w:type="spellEnd"/>
            <w:r w:rsidRPr="00D3060D">
              <w:rPr>
                <w:sz w:val="24"/>
                <w:szCs w:val="24"/>
              </w:rPr>
              <w:t xml:space="preserve"> και οι Σ.Μ.Ε.Α.Ε. </w:t>
            </w:r>
            <w:proofErr w:type="spellStart"/>
            <w:r w:rsidRPr="00D3060D">
              <w:rPr>
                <w:sz w:val="24"/>
                <w:szCs w:val="24"/>
              </w:rPr>
              <w:t>τριάντα</w:t>
            </w:r>
            <w:proofErr w:type="spellEnd"/>
            <w:r w:rsidRPr="00D3060D">
              <w:rPr>
                <w:sz w:val="24"/>
                <w:szCs w:val="24"/>
              </w:rPr>
              <w:t xml:space="preserve"> (30) </w:t>
            </w:r>
            <w:proofErr w:type="spellStart"/>
            <w:r w:rsidRPr="00D3060D">
              <w:rPr>
                <w:sz w:val="24"/>
                <w:szCs w:val="24"/>
              </w:rPr>
              <w:t>τουλάχιστον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μαθητές</w:t>
            </w:r>
            <w:proofErr w:type="spellEnd"/>
          </w:p>
        </w:tc>
        <w:tc>
          <w:tcPr>
            <w:tcW w:w="1790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429</w:t>
            </w:r>
          </w:p>
        </w:tc>
      </w:tr>
      <w:tr w:rsidR="00B71DFF" w:rsidTr="00B71DFF">
        <w:tc>
          <w:tcPr>
            <w:tcW w:w="6716" w:type="dxa"/>
          </w:tcPr>
          <w:p w:rsidR="00B71DFF" w:rsidRPr="00D3060D" w:rsidRDefault="00B71DFF" w:rsidP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Υποδιευθυντές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σχολικών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μονάδων</w:t>
            </w:r>
            <w:proofErr w:type="spellEnd"/>
            <w:r w:rsidRPr="00D3060D">
              <w:rPr>
                <w:sz w:val="24"/>
                <w:szCs w:val="24"/>
              </w:rPr>
              <w:t xml:space="preserve">, Ε.Κ., Σ.Δ.Ε., </w:t>
            </w:r>
            <w:proofErr w:type="spellStart"/>
            <w:r w:rsidRPr="00D3060D">
              <w:rPr>
                <w:sz w:val="24"/>
                <w:szCs w:val="24"/>
              </w:rPr>
              <w:t>δημόσιων</w:t>
            </w:r>
            <w:proofErr w:type="spellEnd"/>
            <w:r w:rsidRPr="00D3060D">
              <w:rPr>
                <w:sz w:val="24"/>
                <w:szCs w:val="24"/>
              </w:rPr>
              <w:t xml:space="preserve"> Ι.Ε.Κ., </w:t>
            </w:r>
            <w:proofErr w:type="spellStart"/>
            <w:r w:rsidRPr="00D3060D">
              <w:rPr>
                <w:sz w:val="24"/>
                <w:szCs w:val="24"/>
              </w:rPr>
              <w:t>Δημόσιων</w:t>
            </w:r>
            <w:proofErr w:type="spellEnd"/>
            <w:r w:rsidRPr="00D3060D">
              <w:rPr>
                <w:sz w:val="24"/>
                <w:szCs w:val="24"/>
              </w:rPr>
              <w:t xml:space="preserve"> Ε.Σ.Κ. και </w:t>
            </w:r>
            <w:proofErr w:type="spellStart"/>
            <w:r w:rsidRPr="00D3060D">
              <w:rPr>
                <w:sz w:val="24"/>
                <w:szCs w:val="24"/>
              </w:rPr>
              <w:t>Σχολών</w:t>
            </w:r>
            <w:proofErr w:type="spellEnd"/>
            <w:r w:rsidRPr="00D3060D">
              <w:rPr>
                <w:sz w:val="24"/>
                <w:szCs w:val="24"/>
              </w:rPr>
              <w:t xml:space="preserve"> και Κ.Ε.Κ. του Ο.Α.Ε.Δ., </w:t>
            </w:r>
            <w:proofErr w:type="spellStart"/>
            <w:r w:rsidRPr="00D3060D">
              <w:rPr>
                <w:sz w:val="24"/>
                <w:szCs w:val="24"/>
              </w:rPr>
              <w:t>Υπεύθυνοι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Τομέων</w:t>
            </w:r>
            <w:proofErr w:type="spellEnd"/>
            <w:r w:rsidRPr="00D3060D">
              <w:rPr>
                <w:sz w:val="24"/>
                <w:szCs w:val="24"/>
              </w:rPr>
              <w:t xml:space="preserve"> Ε.Κ., </w:t>
            </w:r>
            <w:proofErr w:type="spellStart"/>
            <w:r w:rsidRPr="00D3060D">
              <w:rPr>
                <w:sz w:val="24"/>
                <w:szCs w:val="24"/>
              </w:rPr>
              <w:t>Προϊστάμενοι</w:t>
            </w:r>
            <w:proofErr w:type="spellEnd"/>
            <w:r w:rsidRPr="00D3060D">
              <w:rPr>
                <w:sz w:val="24"/>
                <w:szCs w:val="24"/>
              </w:rPr>
              <w:t xml:space="preserve"> των </w:t>
            </w:r>
            <w:proofErr w:type="spellStart"/>
            <w:r w:rsidRPr="00D3060D">
              <w:rPr>
                <w:sz w:val="24"/>
                <w:szCs w:val="24"/>
              </w:rPr>
              <w:t>Κέντρων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Εκπαίδευσης</w:t>
            </w:r>
            <w:proofErr w:type="spellEnd"/>
            <w:r w:rsidRPr="00D3060D">
              <w:rPr>
                <w:sz w:val="24"/>
                <w:szCs w:val="24"/>
              </w:rPr>
              <w:t xml:space="preserve"> για το </w:t>
            </w:r>
            <w:proofErr w:type="spellStart"/>
            <w:r w:rsidRPr="00D3060D">
              <w:rPr>
                <w:sz w:val="24"/>
                <w:szCs w:val="24"/>
              </w:rPr>
              <w:t>Περιβάλλον</w:t>
            </w:r>
            <w:proofErr w:type="spellEnd"/>
            <w:r w:rsidRPr="00D3060D">
              <w:rPr>
                <w:sz w:val="24"/>
                <w:szCs w:val="24"/>
              </w:rPr>
              <w:t xml:space="preserve"> και την </w:t>
            </w:r>
            <w:proofErr w:type="spellStart"/>
            <w:r w:rsidRPr="00D3060D">
              <w:rPr>
                <w:sz w:val="24"/>
                <w:szCs w:val="24"/>
              </w:rPr>
              <w:t>Αειφορία</w:t>
            </w:r>
            <w:proofErr w:type="spellEnd"/>
            <w:r w:rsidRPr="00D3060D">
              <w:rPr>
                <w:sz w:val="24"/>
                <w:szCs w:val="24"/>
              </w:rPr>
              <w:t xml:space="preserve"> (Κ.Ε.ΠΕ.Α.)</w:t>
            </w:r>
          </w:p>
        </w:tc>
        <w:tc>
          <w:tcPr>
            <w:tcW w:w="1790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195</w:t>
            </w:r>
          </w:p>
        </w:tc>
      </w:tr>
      <w:tr w:rsidR="00B71DFF" w:rsidTr="00B71DFF">
        <w:tc>
          <w:tcPr>
            <w:tcW w:w="6716" w:type="dxa"/>
          </w:tcPr>
          <w:p w:rsidR="00B71DFF" w:rsidRPr="00D3060D" w:rsidRDefault="00B71DFF" w:rsidP="003D2AC9">
            <w:pPr>
              <w:rPr>
                <w:sz w:val="24"/>
                <w:szCs w:val="24"/>
              </w:rPr>
            </w:pPr>
            <w:proofErr w:type="spellStart"/>
            <w:r w:rsidRPr="00D3060D">
              <w:rPr>
                <w:sz w:val="24"/>
                <w:szCs w:val="24"/>
              </w:rPr>
              <w:t>Προϊστάμενοι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μονοθέσιων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διθέσιων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τριθέσιων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δημοτικών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σχολείων</w:t>
            </w:r>
            <w:proofErr w:type="spellEnd"/>
            <w:r w:rsidRPr="00D3060D">
              <w:rPr>
                <w:sz w:val="24"/>
                <w:szCs w:val="24"/>
              </w:rPr>
              <w:t xml:space="preserve">, </w:t>
            </w:r>
            <w:proofErr w:type="spellStart"/>
            <w:r w:rsidRPr="00D3060D">
              <w:rPr>
                <w:sz w:val="24"/>
                <w:szCs w:val="24"/>
              </w:rPr>
              <w:t>νηπιαγωγείων</w:t>
            </w:r>
            <w:proofErr w:type="spellEnd"/>
            <w:r w:rsidRPr="00D3060D">
              <w:rPr>
                <w:sz w:val="24"/>
                <w:szCs w:val="24"/>
              </w:rPr>
              <w:t xml:space="preserve"> και </w:t>
            </w:r>
            <w:proofErr w:type="spellStart"/>
            <w:r w:rsidRPr="00D3060D">
              <w:rPr>
                <w:sz w:val="24"/>
                <w:szCs w:val="24"/>
              </w:rPr>
              <w:t>παιδικών</w:t>
            </w:r>
            <w:proofErr w:type="spellEnd"/>
            <w:r w:rsidRPr="00D3060D">
              <w:rPr>
                <w:sz w:val="24"/>
                <w:szCs w:val="24"/>
              </w:rPr>
              <w:t xml:space="preserve"> </w:t>
            </w:r>
            <w:proofErr w:type="spellStart"/>
            <w:r w:rsidRPr="00D3060D">
              <w:rPr>
                <w:sz w:val="24"/>
                <w:szCs w:val="24"/>
              </w:rPr>
              <w:t>σταθμών</w:t>
            </w:r>
            <w:proofErr w:type="spellEnd"/>
          </w:p>
        </w:tc>
        <w:tc>
          <w:tcPr>
            <w:tcW w:w="1790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165</w:t>
            </w:r>
          </w:p>
        </w:tc>
        <w:tc>
          <w:tcPr>
            <w:tcW w:w="1559" w:type="dxa"/>
            <w:vAlign w:val="center"/>
          </w:tcPr>
          <w:p w:rsidR="00B71DFF" w:rsidRPr="00D3060D" w:rsidRDefault="00B71DFF" w:rsidP="003D2AC9">
            <w:pPr>
              <w:jc w:val="center"/>
              <w:rPr>
                <w:sz w:val="24"/>
                <w:szCs w:val="24"/>
              </w:rPr>
            </w:pPr>
            <w:r w:rsidRPr="00D3060D">
              <w:rPr>
                <w:sz w:val="24"/>
                <w:szCs w:val="24"/>
              </w:rPr>
              <w:t>214,5</w:t>
            </w:r>
          </w:p>
        </w:tc>
      </w:tr>
    </w:tbl>
    <w:p w:rsidR="00493C60" w:rsidRDefault="00493C60"/>
    <w:sectPr w:rsidR="00493C60" w:rsidSect="00493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5282C"/>
    <w:rsid w:val="00004029"/>
    <w:rsid w:val="0000415D"/>
    <w:rsid w:val="00013ABB"/>
    <w:rsid w:val="00020C48"/>
    <w:rsid w:val="00021D83"/>
    <w:rsid w:val="00022C3B"/>
    <w:rsid w:val="00024DA1"/>
    <w:rsid w:val="00041ADF"/>
    <w:rsid w:val="00044E05"/>
    <w:rsid w:val="000474B9"/>
    <w:rsid w:val="000524A7"/>
    <w:rsid w:val="0005282C"/>
    <w:rsid w:val="00054E4B"/>
    <w:rsid w:val="000562AA"/>
    <w:rsid w:val="00057759"/>
    <w:rsid w:val="0006606B"/>
    <w:rsid w:val="00070E3A"/>
    <w:rsid w:val="0007250C"/>
    <w:rsid w:val="000739D6"/>
    <w:rsid w:val="000764FE"/>
    <w:rsid w:val="00076BA4"/>
    <w:rsid w:val="0007780D"/>
    <w:rsid w:val="000821A6"/>
    <w:rsid w:val="0008269C"/>
    <w:rsid w:val="00082AD4"/>
    <w:rsid w:val="0008443B"/>
    <w:rsid w:val="0008729F"/>
    <w:rsid w:val="00090159"/>
    <w:rsid w:val="00094684"/>
    <w:rsid w:val="000A2092"/>
    <w:rsid w:val="000A2924"/>
    <w:rsid w:val="000A50E8"/>
    <w:rsid w:val="000A76D8"/>
    <w:rsid w:val="000B6E11"/>
    <w:rsid w:val="000C3BE9"/>
    <w:rsid w:val="000C5A9E"/>
    <w:rsid w:val="000D1E6A"/>
    <w:rsid w:val="000D24C4"/>
    <w:rsid w:val="000D3BE3"/>
    <w:rsid w:val="000E14D5"/>
    <w:rsid w:val="000E35BC"/>
    <w:rsid w:val="000E4E59"/>
    <w:rsid w:val="000E5CCB"/>
    <w:rsid w:val="000E69AC"/>
    <w:rsid w:val="000F0CA0"/>
    <w:rsid w:val="000F1EDD"/>
    <w:rsid w:val="000F3F11"/>
    <w:rsid w:val="000F521E"/>
    <w:rsid w:val="000F5E5A"/>
    <w:rsid w:val="001029AE"/>
    <w:rsid w:val="0010512E"/>
    <w:rsid w:val="001058C4"/>
    <w:rsid w:val="00115FC0"/>
    <w:rsid w:val="00122DD8"/>
    <w:rsid w:val="001262CA"/>
    <w:rsid w:val="00130F7B"/>
    <w:rsid w:val="00131F92"/>
    <w:rsid w:val="00132EE7"/>
    <w:rsid w:val="0013473A"/>
    <w:rsid w:val="00135195"/>
    <w:rsid w:val="001361F1"/>
    <w:rsid w:val="00146A63"/>
    <w:rsid w:val="00146CB6"/>
    <w:rsid w:val="00150E35"/>
    <w:rsid w:val="00170A70"/>
    <w:rsid w:val="00174A4F"/>
    <w:rsid w:val="0017538F"/>
    <w:rsid w:val="00176C89"/>
    <w:rsid w:val="0018084C"/>
    <w:rsid w:val="0018526F"/>
    <w:rsid w:val="00187A43"/>
    <w:rsid w:val="0019165F"/>
    <w:rsid w:val="0019436D"/>
    <w:rsid w:val="00194591"/>
    <w:rsid w:val="0019759F"/>
    <w:rsid w:val="001B4295"/>
    <w:rsid w:val="001B66BC"/>
    <w:rsid w:val="001C2BD4"/>
    <w:rsid w:val="001D66BA"/>
    <w:rsid w:val="001D7255"/>
    <w:rsid w:val="001E1094"/>
    <w:rsid w:val="001E1A3C"/>
    <w:rsid w:val="001E234A"/>
    <w:rsid w:val="001E466B"/>
    <w:rsid w:val="001F6BE4"/>
    <w:rsid w:val="002057E4"/>
    <w:rsid w:val="002127B5"/>
    <w:rsid w:val="00212CE2"/>
    <w:rsid w:val="00216AA4"/>
    <w:rsid w:val="00223410"/>
    <w:rsid w:val="00224D95"/>
    <w:rsid w:val="00226AF2"/>
    <w:rsid w:val="00231536"/>
    <w:rsid w:val="00234D3F"/>
    <w:rsid w:val="00235DBE"/>
    <w:rsid w:val="00236C63"/>
    <w:rsid w:val="00240763"/>
    <w:rsid w:val="002419C1"/>
    <w:rsid w:val="00243645"/>
    <w:rsid w:val="002510A8"/>
    <w:rsid w:val="002556A8"/>
    <w:rsid w:val="00255A2E"/>
    <w:rsid w:val="0025657F"/>
    <w:rsid w:val="0026222A"/>
    <w:rsid w:val="0026355F"/>
    <w:rsid w:val="00265107"/>
    <w:rsid w:val="00271FD5"/>
    <w:rsid w:val="00272DEF"/>
    <w:rsid w:val="002768CF"/>
    <w:rsid w:val="00276E28"/>
    <w:rsid w:val="00277DC4"/>
    <w:rsid w:val="00280E86"/>
    <w:rsid w:val="002823B5"/>
    <w:rsid w:val="0028384C"/>
    <w:rsid w:val="0028463D"/>
    <w:rsid w:val="00284748"/>
    <w:rsid w:val="00285434"/>
    <w:rsid w:val="00286DF1"/>
    <w:rsid w:val="00295676"/>
    <w:rsid w:val="002A0E4F"/>
    <w:rsid w:val="002B02D6"/>
    <w:rsid w:val="002B26EF"/>
    <w:rsid w:val="002B69D5"/>
    <w:rsid w:val="002B770D"/>
    <w:rsid w:val="002C68ED"/>
    <w:rsid w:val="002D1EAB"/>
    <w:rsid w:val="002E0103"/>
    <w:rsid w:val="002E182F"/>
    <w:rsid w:val="002E4E4E"/>
    <w:rsid w:val="0030036D"/>
    <w:rsid w:val="00305BE0"/>
    <w:rsid w:val="00305F21"/>
    <w:rsid w:val="0031000F"/>
    <w:rsid w:val="00311A91"/>
    <w:rsid w:val="0032366B"/>
    <w:rsid w:val="0033109D"/>
    <w:rsid w:val="00344231"/>
    <w:rsid w:val="00344998"/>
    <w:rsid w:val="00345AB1"/>
    <w:rsid w:val="003475B1"/>
    <w:rsid w:val="00351B34"/>
    <w:rsid w:val="00351F71"/>
    <w:rsid w:val="00354EDE"/>
    <w:rsid w:val="00373E2E"/>
    <w:rsid w:val="00375FD2"/>
    <w:rsid w:val="00381C70"/>
    <w:rsid w:val="003919D2"/>
    <w:rsid w:val="00392C09"/>
    <w:rsid w:val="00393641"/>
    <w:rsid w:val="00396387"/>
    <w:rsid w:val="003A1355"/>
    <w:rsid w:val="003A14CD"/>
    <w:rsid w:val="003A2110"/>
    <w:rsid w:val="003A4A34"/>
    <w:rsid w:val="003A5DD2"/>
    <w:rsid w:val="003C3540"/>
    <w:rsid w:val="003D2AC9"/>
    <w:rsid w:val="003D2EED"/>
    <w:rsid w:val="003D5747"/>
    <w:rsid w:val="003D61CB"/>
    <w:rsid w:val="003E2923"/>
    <w:rsid w:val="003E3EB3"/>
    <w:rsid w:val="003E4EB7"/>
    <w:rsid w:val="003E6134"/>
    <w:rsid w:val="003E666A"/>
    <w:rsid w:val="003E6CCE"/>
    <w:rsid w:val="003F2765"/>
    <w:rsid w:val="003F375C"/>
    <w:rsid w:val="003F797F"/>
    <w:rsid w:val="00401696"/>
    <w:rsid w:val="004135C5"/>
    <w:rsid w:val="00422DBF"/>
    <w:rsid w:val="00432E30"/>
    <w:rsid w:val="00435887"/>
    <w:rsid w:val="00437D96"/>
    <w:rsid w:val="0044044C"/>
    <w:rsid w:val="00440BD4"/>
    <w:rsid w:val="00440F8A"/>
    <w:rsid w:val="0044138E"/>
    <w:rsid w:val="0044226F"/>
    <w:rsid w:val="00453A3F"/>
    <w:rsid w:val="00455E5A"/>
    <w:rsid w:val="004626A1"/>
    <w:rsid w:val="00463F3F"/>
    <w:rsid w:val="004644F5"/>
    <w:rsid w:val="0046737A"/>
    <w:rsid w:val="00471CC6"/>
    <w:rsid w:val="00481357"/>
    <w:rsid w:val="00483D67"/>
    <w:rsid w:val="00487E5E"/>
    <w:rsid w:val="00492466"/>
    <w:rsid w:val="00493C60"/>
    <w:rsid w:val="00496002"/>
    <w:rsid w:val="004A6D04"/>
    <w:rsid w:val="004B0127"/>
    <w:rsid w:val="004B04A1"/>
    <w:rsid w:val="004B2A9C"/>
    <w:rsid w:val="004B30E2"/>
    <w:rsid w:val="004B428C"/>
    <w:rsid w:val="004C0681"/>
    <w:rsid w:val="004C1380"/>
    <w:rsid w:val="004C2975"/>
    <w:rsid w:val="004C308F"/>
    <w:rsid w:val="004C5ECE"/>
    <w:rsid w:val="004C7025"/>
    <w:rsid w:val="004C7CBA"/>
    <w:rsid w:val="004D29E6"/>
    <w:rsid w:val="004D603E"/>
    <w:rsid w:val="004E5FF0"/>
    <w:rsid w:val="004E76E3"/>
    <w:rsid w:val="004E7F8E"/>
    <w:rsid w:val="00501BCA"/>
    <w:rsid w:val="00501CC1"/>
    <w:rsid w:val="00511BD1"/>
    <w:rsid w:val="00512169"/>
    <w:rsid w:val="005142EA"/>
    <w:rsid w:val="00515D91"/>
    <w:rsid w:val="00516643"/>
    <w:rsid w:val="00524B15"/>
    <w:rsid w:val="00524D2F"/>
    <w:rsid w:val="0052538D"/>
    <w:rsid w:val="00525474"/>
    <w:rsid w:val="005340F3"/>
    <w:rsid w:val="005364DE"/>
    <w:rsid w:val="0054576F"/>
    <w:rsid w:val="005459AF"/>
    <w:rsid w:val="00547987"/>
    <w:rsid w:val="00551136"/>
    <w:rsid w:val="0055352C"/>
    <w:rsid w:val="00554D99"/>
    <w:rsid w:val="00562E87"/>
    <w:rsid w:val="0056655F"/>
    <w:rsid w:val="005673FE"/>
    <w:rsid w:val="00567882"/>
    <w:rsid w:val="005734B3"/>
    <w:rsid w:val="00574872"/>
    <w:rsid w:val="00590E93"/>
    <w:rsid w:val="00592875"/>
    <w:rsid w:val="0059798E"/>
    <w:rsid w:val="005A23D9"/>
    <w:rsid w:val="005A4509"/>
    <w:rsid w:val="005A7CFC"/>
    <w:rsid w:val="005B0412"/>
    <w:rsid w:val="005B2035"/>
    <w:rsid w:val="005B60E3"/>
    <w:rsid w:val="005C34C7"/>
    <w:rsid w:val="005C75D2"/>
    <w:rsid w:val="005D2E6E"/>
    <w:rsid w:val="005D2F48"/>
    <w:rsid w:val="005D36AA"/>
    <w:rsid w:val="005D644F"/>
    <w:rsid w:val="005D6A37"/>
    <w:rsid w:val="005D7DBB"/>
    <w:rsid w:val="005E1663"/>
    <w:rsid w:val="005E7CE5"/>
    <w:rsid w:val="005F26F7"/>
    <w:rsid w:val="005F6214"/>
    <w:rsid w:val="005F7ED2"/>
    <w:rsid w:val="006007EF"/>
    <w:rsid w:val="00601FAF"/>
    <w:rsid w:val="006065D0"/>
    <w:rsid w:val="006107C6"/>
    <w:rsid w:val="00612BEB"/>
    <w:rsid w:val="00613230"/>
    <w:rsid w:val="006154D6"/>
    <w:rsid w:val="006173AA"/>
    <w:rsid w:val="006255B7"/>
    <w:rsid w:val="00641A49"/>
    <w:rsid w:val="00644574"/>
    <w:rsid w:val="00647D94"/>
    <w:rsid w:val="0065015E"/>
    <w:rsid w:val="00651492"/>
    <w:rsid w:val="00651EB3"/>
    <w:rsid w:val="00654928"/>
    <w:rsid w:val="00657E80"/>
    <w:rsid w:val="006605B5"/>
    <w:rsid w:val="0066149D"/>
    <w:rsid w:val="0066290E"/>
    <w:rsid w:val="00665A2F"/>
    <w:rsid w:val="00666216"/>
    <w:rsid w:val="00674D3B"/>
    <w:rsid w:val="00676001"/>
    <w:rsid w:val="00677C7D"/>
    <w:rsid w:val="0068174E"/>
    <w:rsid w:val="00683D4B"/>
    <w:rsid w:val="0069189C"/>
    <w:rsid w:val="006930A3"/>
    <w:rsid w:val="006A25B2"/>
    <w:rsid w:val="006A6AE0"/>
    <w:rsid w:val="006A6C58"/>
    <w:rsid w:val="006B3649"/>
    <w:rsid w:val="006B4495"/>
    <w:rsid w:val="006B6784"/>
    <w:rsid w:val="006C29A4"/>
    <w:rsid w:val="006D7095"/>
    <w:rsid w:val="006D723D"/>
    <w:rsid w:val="006E55B2"/>
    <w:rsid w:val="006E65CF"/>
    <w:rsid w:val="006E6800"/>
    <w:rsid w:val="006F2EF0"/>
    <w:rsid w:val="006F4EF2"/>
    <w:rsid w:val="006F55F8"/>
    <w:rsid w:val="006F64C9"/>
    <w:rsid w:val="00710F3F"/>
    <w:rsid w:val="00711838"/>
    <w:rsid w:val="007118ED"/>
    <w:rsid w:val="00713BC0"/>
    <w:rsid w:val="00715C9D"/>
    <w:rsid w:val="00717C33"/>
    <w:rsid w:val="00727829"/>
    <w:rsid w:val="00733589"/>
    <w:rsid w:val="00733A1F"/>
    <w:rsid w:val="00737D29"/>
    <w:rsid w:val="0074043F"/>
    <w:rsid w:val="00744287"/>
    <w:rsid w:val="00757CBE"/>
    <w:rsid w:val="00765944"/>
    <w:rsid w:val="00765DD4"/>
    <w:rsid w:val="00772ACB"/>
    <w:rsid w:val="00775DDE"/>
    <w:rsid w:val="007769E5"/>
    <w:rsid w:val="007770C3"/>
    <w:rsid w:val="00790180"/>
    <w:rsid w:val="00791CCC"/>
    <w:rsid w:val="00793522"/>
    <w:rsid w:val="00793C14"/>
    <w:rsid w:val="00793F9C"/>
    <w:rsid w:val="007A4609"/>
    <w:rsid w:val="007B123D"/>
    <w:rsid w:val="007B39AA"/>
    <w:rsid w:val="007C73C7"/>
    <w:rsid w:val="007D0893"/>
    <w:rsid w:val="007E08EB"/>
    <w:rsid w:val="007E14D1"/>
    <w:rsid w:val="007E152C"/>
    <w:rsid w:val="007E1FA0"/>
    <w:rsid w:val="007E2E56"/>
    <w:rsid w:val="007E60AA"/>
    <w:rsid w:val="007F336D"/>
    <w:rsid w:val="007F473D"/>
    <w:rsid w:val="007F7103"/>
    <w:rsid w:val="00801324"/>
    <w:rsid w:val="008028CA"/>
    <w:rsid w:val="00805D9F"/>
    <w:rsid w:val="008161D4"/>
    <w:rsid w:val="008256FC"/>
    <w:rsid w:val="008278FC"/>
    <w:rsid w:val="00833D87"/>
    <w:rsid w:val="00837FD5"/>
    <w:rsid w:val="00844D76"/>
    <w:rsid w:val="00847330"/>
    <w:rsid w:val="00852952"/>
    <w:rsid w:val="00852DF6"/>
    <w:rsid w:val="00856688"/>
    <w:rsid w:val="0086056F"/>
    <w:rsid w:val="008612EC"/>
    <w:rsid w:val="008664B6"/>
    <w:rsid w:val="00876D5A"/>
    <w:rsid w:val="00884978"/>
    <w:rsid w:val="00884BCB"/>
    <w:rsid w:val="00890EC7"/>
    <w:rsid w:val="008913B5"/>
    <w:rsid w:val="00891907"/>
    <w:rsid w:val="008930C0"/>
    <w:rsid w:val="008950DA"/>
    <w:rsid w:val="008A32EB"/>
    <w:rsid w:val="008B03C4"/>
    <w:rsid w:val="008B13A4"/>
    <w:rsid w:val="008B2325"/>
    <w:rsid w:val="008B6129"/>
    <w:rsid w:val="008C65D5"/>
    <w:rsid w:val="008C7F34"/>
    <w:rsid w:val="008D0DCC"/>
    <w:rsid w:val="008D2E92"/>
    <w:rsid w:val="008E360D"/>
    <w:rsid w:val="008F1495"/>
    <w:rsid w:val="008F1FD5"/>
    <w:rsid w:val="008F544B"/>
    <w:rsid w:val="008F677C"/>
    <w:rsid w:val="009025D8"/>
    <w:rsid w:val="00906F2E"/>
    <w:rsid w:val="00912273"/>
    <w:rsid w:val="00913464"/>
    <w:rsid w:val="0091590B"/>
    <w:rsid w:val="00921535"/>
    <w:rsid w:val="0092568B"/>
    <w:rsid w:val="009302B8"/>
    <w:rsid w:val="009310F3"/>
    <w:rsid w:val="00931486"/>
    <w:rsid w:val="009323D7"/>
    <w:rsid w:val="00934757"/>
    <w:rsid w:val="0093507A"/>
    <w:rsid w:val="00935B30"/>
    <w:rsid w:val="00941EBC"/>
    <w:rsid w:val="00942460"/>
    <w:rsid w:val="009456F8"/>
    <w:rsid w:val="00946705"/>
    <w:rsid w:val="0094670E"/>
    <w:rsid w:val="00947C16"/>
    <w:rsid w:val="0095443A"/>
    <w:rsid w:val="0096256B"/>
    <w:rsid w:val="00966902"/>
    <w:rsid w:val="009679AF"/>
    <w:rsid w:val="00972A22"/>
    <w:rsid w:val="00972CA8"/>
    <w:rsid w:val="009733A1"/>
    <w:rsid w:val="00976C17"/>
    <w:rsid w:val="00982B02"/>
    <w:rsid w:val="00982EAE"/>
    <w:rsid w:val="00985A8B"/>
    <w:rsid w:val="00987E1D"/>
    <w:rsid w:val="009904B0"/>
    <w:rsid w:val="00990B07"/>
    <w:rsid w:val="00993374"/>
    <w:rsid w:val="0099692C"/>
    <w:rsid w:val="009A4291"/>
    <w:rsid w:val="009A4685"/>
    <w:rsid w:val="009B16A6"/>
    <w:rsid w:val="009B55EF"/>
    <w:rsid w:val="009B59CF"/>
    <w:rsid w:val="009B6F74"/>
    <w:rsid w:val="009C29F5"/>
    <w:rsid w:val="009C4A42"/>
    <w:rsid w:val="009C579F"/>
    <w:rsid w:val="009C5849"/>
    <w:rsid w:val="009D22BE"/>
    <w:rsid w:val="009D49A3"/>
    <w:rsid w:val="009D6121"/>
    <w:rsid w:val="009D7852"/>
    <w:rsid w:val="009E1D9F"/>
    <w:rsid w:val="009F11A1"/>
    <w:rsid w:val="00A03240"/>
    <w:rsid w:val="00A13ADE"/>
    <w:rsid w:val="00A16741"/>
    <w:rsid w:val="00A267D9"/>
    <w:rsid w:val="00A26C87"/>
    <w:rsid w:val="00A3149E"/>
    <w:rsid w:val="00A34F95"/>
    <w:rsid w:val="00A361D2"/>
    <w:rsid w:val="00A4169B"/>
    <w:rsid w:val="00A42E5F"/>
    <w:rsid w:val="00A52570"/>
    <w:rsid w:val="00A54DB0"/>
    <w:rsid w:val="00A565A5"/>
    <w:rsid w:val="00A56B99"/>
    <w:rsid w:val="00A6531D"/>
    <w:rsid w:val="00A65C9E"/>
    <w:rsid w:val="00A7325B"/>
    <w:rsid w:val="00A742E6"/>
    <w:rsid w:val="00A75068"/>
    <w:rsid w:val="00A77B81"/>
    <w:rsid w:val="00A80A91"/>
    <w:rsid w:val="00A80FD6"/>
    <w:rsid w:val="00A86EA3"/>
    <w:rsid w:val="00A91792"/>
    <w:rsid w:val="00AA3104"/>
    <w:rsid w:val="00AA48B9"/>
    <w:rsid w:val="00AB17F0"/>
    <w:rsid w:val="00AB46C4"/>
    <w:rsid w:val="00AC7258"/>
    <w:rsid w:val="00AD4EC3"/>
    <w:rsid w:val="00AD6CF1"/>
    <w:rsid w:val="00AD7534"/>
    <w:rsid w:val="00AE033B"/>
    <w:rsid w:val="00AE1FAB"/>
    <w:rsid w:val="00AE45C3"/>
    <w:rsid w:val="00AE4CB4"/>
    <w:rsid w:val="00AE59D1"/>
    <w:rsid w:val="00AE6B15"/>
    <w:rsid w:val="00AF449C"/>
    <w:rsid w:val="00B01922"/>
    <w:rsid w:val="00B04A2C"/>
    <w:rsid w:val="00B070BE"/>
    <w:rsid w:val="00B075B2"/>
    <w:rsid w:val="00B10234"/>
    <w:rsid w:val="00B1149F"/>
    <w:rsid w:val="00B114BE"/>
    <w:rsid w:val="00B11F3B"/>
    <w:rsid w:val="00B122A0"/>
    <w:rsid w:val="00B15A6C"/>
    <w:rsid w:val="00B15BED"/>
    <w:rsid w:val="00B220A6"/>
    <w:rsid w:val="00B233F6"/>
    <w:rsid w:val="00B31336"/>
    <w:rsid w:val="00B32143"/>
    <w:rsid w:val="00B321F4"/>
    <w:rsid w:val="00B330CB"/>
    <w:rsid w:val="00B3785A"/>
    <w:rsid w:val="00B43465"/>
    <w:rsid w:val="00B441A3"/>
    <w:rsid w:val="00B45930"/>
    <w:rsid w:val="00B461C1"/>
    <w:rsid w:val="00B4683D"/>
    <w:rsid w:val="00B54ECF"/>
    <w:rsid w:val="00B6147B"/>
    <w:rsid w:val="00B67905"/>
    <w:rsid w:val="00B71ABF"/>
    <w:rsid w:val="00B71DFF"/>
    <w:rsid w:val="00B75A5E"/>
    <w:rsid w:val="00B80340"/>
    <w:rsid w:val="00B84F17"/>
    <w:rsid w:val="00B871B2"/>
    <w:rsid w:val="00B872DE"/>
    <w:rsid w:val="00B87B43"/>
    <w:rsid w:val="00B92033"/>
    <w:rsid w:val="00B94A87"/>
    <w:rsid w:val="00B950E2"/>
    <w:rsid w:val="00BB1A17"/>
    <w:rsid w:val="00BC0631"/>
    <w:rsid w:val="00BC59C2"/>
    <w:rsid w:val="00BD442D"/>
    <w:rsid w:val="00BE51C9"/>
    <w:rsid w:val="00BE5890"/>
    <w:rsid w:val="00BE652A"/>
    <w:rsid w:val="00BF318C"/>
    <w:rsid w:val="00BF58A1"/>
    <w:rsid w:val="00BF5C6B"/>
    <w:rsid w:val="00C02EBF"/>
    <w:rsid w:val="00C06F4C"/>
    <w:rsid w:val="00C077C2"/>
    <w:rsid w:val="00C21915"/>
    <w:rsid w:val="00C24122"/>
    <w:rsid w:val="00C24A7C"/>
    <w:rsid w:val="00C24D4A"/>
    <w:rsid w:val="00C24F36"/>
    <w:rsid w:val="00C269D2"/>
    <w:rsid w:val="00C2752D"/>
    <w:rsid w:val="00C3095C"/>
    <w:rsid w:val="00C350F3"/>
    <w:rsid w:val="00C40087"/>
    <w:rsid w:val="00C40DF1"/>
    <w:rsid w:val="00C477EE"/>
    <w:rsid w:val="00C559FC"/>
    <w:rsid w:val="00C80A6B"/>
    <w:rsid w:val="00C8699F"/>
    <w:rsid w:val="00C93EA0"/>
    <w:rsid w:val="00C95500"/>
    <w:rsid w:val="00CA4FB7"/>
    <w:rsid w:val="00CA722A"/>
    <w:rsid w:val="00CB6EDE"/>
    <w:rsid w:val="00CC1713"/>
    <w:rsid w:val="00CC483C"/>
    <w:rsid w:val="00CC7E8E"/>
    <w:rsid w:val="00CD76EC"/>
    <w:rsid w:val="00CE0CE5"/>
    <w:rsid w:val="00CE26FB"/>
    <w:rsid w:val="00CE46F9"/>
    <w:rsid w:val="00CE6399"/>
    <w:rsid w:val="00CF2027"/>
    <w:rsid w:val="00D00349"/>
    <w:rsid w:val="00D00636"/>
    <w:rsid w:val="00D0175C"/>
    <w:rsid w:val="00D02FE0"/>
    <w:rsid w:val="00D04288"/>
    <w:rsid w:val="00D11137"/>
    <w:rsid w:val="00D15939"/>
    <w:rsid w:val="00D26895"/>
    <w:rsid w:val="00D26CDA"/>
    <w:rsid w:val="00D27663"/>
    <w:rsid w:val="00D3060D"/>
    <w:rsid w:val="00D32200"/>
    <w:rsid w:val="00D32C72"/>
    <w:rsid w:val="00D33225"/>
    <w:rsid w:val="00D34A76"/>
    <w:rsid w:val="00D36160"/>
    <w:rsid w:val="00D5034B"/>
    <w:rsid w:val="00D50642"/>
    <w:rsid w:val="00D51C96"/>
    <w:rsid w:val="00D553E5"/>
    <w:rsid w:val="00D55539"/>
    <w:rsid w:val="00D5776E"/>
    <w:rsid w:val="00D613B7"/>
    <w:rsid w:val="00D61644"/>
    <w:rsid w:val="00D6172F"/>
    <w:rsid w:val="00D644CB"/>
    <w:rsid w:val="00D665F6"/>
    <w:rsid w:val="00D70EF1"/>
    <w:rsid w:val="00D74FE6"/>
    <w:rsid w:val="00D77A7B"/>
    <w:rsid w:val="00D819D8"/>
    <w:rsid w:val="00D81BD5"/>
    <w:rsid w:val="00D8234B"/>
    <w:rsid w:val="00D835E8"/>
    <w:rsid w:val="00D86618"/>
    <w:rsid w:val="00D870D2"/>
    <w:rsid w:val="00D93DF1"/>
    <w:rsid w:val="00DA16AC"/>
    <w:rsid w:val="00DA29BA"/>
    <w:rsid w:val="00DB0471"/>
    <w:rsid w:val="00DB3689"/>
    <w:rsid w:val="00DB4229"/>
    <w:rsid w:val="00DC02A7"/>
    <w:rsid w:val="00DC1E92"/>
    <w:rsid w:val="00DC2A3A"/>
    <w:rsid w:val="00DC6768"/>
    <w:rsid w:val="00DD2BFE"/>
    <w:rsid w:val="00DD4A71"/>
    <w:rsid w:val="00DD5B93"/>
    <w:rsid w:val="00DD6534"/>
    <w:rsid w:val="00DE51AB"/>
    <w:rsid w:val="00DE6819"/>
    <w:rsid w:val="00DE7981"/>
    <w:rsid w:val="00DF2706"/>
    <w:rsid w:val="00DF2AE2"/>
    <w:rsid w:val="00E11B7D"/>
    <w:rsid w:val="00E4039A"/>
    <w:rsid w:val="00E404E5"/>
    <w:rsid w:val="00E42268"/>
    <w:rsid w:val="00E57430"/>
    <w:rsid w:val="00E61B5F"/>
    <w:rsid w:val="00E62346"/>
    <w:rsid w:val="00E64BDE"/>
    <w:rsid w:val="00E67FE0"/>
    <w:rsid w:val="00E73811"/>
    <w:rsid w:val="00E8000D"/>
    <w:rsid w:val="00E91769"/>
    <w:rsid w:val="00E92A6F"/>
    <w:rsid w:val="00E93B92"/>
    <w:rsid w:val="00E94812"/>
    <w:rsid w:val="00EA0B36"/>
    <w:rsid w:val="00EA435F"/>
    <w:rsid w:val="00EB0D5D"/>
    <w:rsid w:val="00EB1651"/>
    <w:rsid w:val="00EB1AC1"/>
    <w:rsid w:val="00EC458A"/>
    <w:rsid w:val="00EC5793"/>
    <w:rsid w:val="00EC6DA9"/>
    <w:rsid w:val="00EC7695"/>
    <w:rsid w:val="00ED08D5"/>
    <w:rsid w:val="00ED3878"/>
    <w:rsid w:val="00ED47E6"/>
    <w:rsid w:val="00ED4C53"/>
    <w:rsid w:val="00ED62D3"/>
    <w:rsid w:val="00EE565F"/>
    <w:rsid w:val="00EF4093"/>
    <w:rsid w:val="00F00817"/>
    <w:rsid w:val="00F03F21"/>
    <w:rsid w:val="00F054F8"/>
    <w:rsid w:val="00F0600E"/>
    <w:rsid w:val="00F06F23"/>
    <w:rsid w:val="00F114D9"/>
    <w:rsid w:val="00F168BD"/>
    <w:rsid w:val="00F170C2"/>
    <w:rsid w:val="00F22912"/>
    <w:rsid w:val="00F237FA"/>
    <w:rsid w:val="00F25BB7"/>
    <w:rsid w:val="00F25E35"/>
    <w:rsid w:val="00F27A5F"/>
    <w:rsid w:val="00F30457"/>
    <w:rsid w:val="00F3142D"/>
    <w:rsid w:val="00F3155C"/>
    <w:rsid w:val="00F32149"/>
    <w:rsid w:val="00F3370F"/>
    <w:rsid w:val="00F35562"/>
    <w:rsid w:val="00F35580"/>
    <w:rsid w:val="00F35C57"/>
    <w:rsid w:val="00F37B5D"/>
    <w:rsid w:val="00F40FC2"/>
    <w:rsid w:val="00F45960"/>
    <w:rsid w:val="00F47F10"/>
    <w:rsid w:val="00F52824"/>
    <w:rsid w:val="00F55F1B"/>
    <w:rsid w:val="00F56844"/>
    <w:rsid w:val="00F57F76"/>
    <w:rsid w:val="00F60078"/>
    <w:rsid w:val="00F60158"/>
    <w:rsid w:val="00F643D2"/>
    <w:rsid w:val="00F65D82"/>
    <w:rsid w:val="00F670FC"/>
    <w:rsid w:val="00F726F8"/>
    <w:rsid w:val="00F7463F"/>
    <w:rsid w:val="00F777E8"/>
    <w:rsid w:val="00F77831"/>
    <w:rsid w:val="00F85FD7"/>
    <w:rsid w:val="00FA1A12"/>
    <w:rsid w:val="00FA1DE2"/>
    <w:rsid w:val="00FA340B"/>
    <w:rsid w:val="00FA5520"/>
    <w:rsid w:val="00FA753C"/>
    <w:rsid w:val="00FB0C37"/>
    <w:rsid w:val="00FB20E7"/>
    <w:rsid w:val="00FB4A81"/>
    <w:rsid w:val="00FD126F"/>
    <w:rsid w:val="00FD23F0"/>
    <w:rsid w:val="00FD261C"/>
    <w:rsid w:val="00FD78ED"/>
    <w:rsid w:val="00FE6E63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2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2023-09-23T18:09:00Z</dcterms:created>
  <dcterms:modified xsi:type="dcterms:W3CDTF">2023-09-23T23:41:00Z</dcterms:modified>
</cp:coreProperties>
</file>